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lavori di importo pari o superiore a 150.000 euro e inferiore a 1.000.000 di euro mediante il sistema della procedura negoziata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lavori di importo pari o superiore a 150.000 euro e inferiore a 1.000.000 di euro mediante il sistema della procedura negoziata.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